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32" w:rsidRPr="006F1A75" w:rsidRDefault="004B0732" w:rsidP="006F1A75">
      <w:pPr>
        <w:spacing w:before="89" w:line="276" w:lineRule="auto"/>
        <w:jc w:val="center"/>
        <w:rPr>
          <w:b/>
          <w:sz w:val="24"/>
          <w:szCs w:val="24"/>
          <w:u w:val="thick"/>
        </w:rPr>
      </w:pPr>
      <w:r w:rsidRPr="006F1A75">
        <w:rPr>
          <w:b/>
          <w:sz w:val="24"/>
          <w:szCs w:val="24"/>
          <w:u w:val="thick"/>
        </w:rPr>
        <w:t xml:space="preserve">ESPECIFICACIÓN TÉCNICA </w:t>
      </w:r>
    </w:p>
    <w:p w:rsidR="00980C8F" w:rsidRPr="006F1A75" w:rsidRDefault="00980C8F" w:rsidP="006F1A75">
      <w:pPr>
        <w:spacing w:before="89" w:line="276" w:lineRule="auto"/>
        <w:jc w:val="center"/>
        <w:rPr>
          <w:b/>
          <w:sz w:val="24"/>
          <w:szCs w:val="24"/>
          <w:u w:val="thick"/>
        </w:rPr>
      </w:pPr>
    </w:p>
    <w:p w:rsidR="003248AC" w:rsidRPr="000D2396" w:rsidRDefault="003248AC" w:rsidP="003248AC">
      <w:pPr>
        <w:spacing w:before="89" w:line="276" w:lineRule="auto"/>
        <w:jc w:val="both"/>
        <w:rPr>
          <w:sz w:val="24"/>
          <w:szCs w:val="24"/>
        </w:rPr>
      </w:pPr>
      <w:r w:rsidRPr="000D2396">
        <w:rPr>
          <w:sz w:val="24"/>
          <w:szCs w:val="24"/>
        </w:rPr>
        <w:t xml:space="preserve">SERVICIO DE FUMIGACIÓN, CONTROL DE PLAGAS  Y LIMPIEZA DE TANQUES PROPIOS DE AGUA POTABLE UTYR ASCOCHINGA DEL INSTITUTO DE LA OBRA SOCIAL DE LAS FUERZAS ARMADAS </w:t>
      </w:r>
      <w:r w:rsidR="00C435B2">
        <w:rPr>
          <w:sz w:val="24"/>
          <w:szCs w:val="24"/>
        </w:rPr>
        <w:t>(IOSFA), POR UN PERIODO DE CUATRO (4) MESES</w:t>
      </w:r>
      <w:r w:rsidRPr="000D2396">
        <w:rPr>
          <w:sz w:val="24"/>
          <w:szCs w:val="24"/>
        </w:rPr>
        <w:t>.</w:t>
      </w:r>
    </w:p>
    <w:p w:rsidR="00381464" w:rsidRPr="006F1A75" w:rsidRDefault="00381464" w:rsidP="006F1A75"/>
    <w:p w:rsidR="00D27E12" w:rsidRPr="006F1A75" w:rsidRDefault="00A73758" w:rsidP="006F1A75">
      <w:pPr>
        <w:spacing w:before="120" w:after="240" w:line="360" w:lineRule="auto"/>
        <w:jc w:val="center"/>
        <w:rPr>
          <w:i/>
        </w:rPr>
      </w:pPr>
      <w:r w:rsidRPr="006F1A75">
        <w:rPr>
          <w:i/>
        </w:rPr>
        <w:t>La</w:t>
      </w:r>
      <w:r w:rsidR="003521A4" w:rsidRPr="006F1A75">
        <w:rPr>
          <w:i/>
        </w:rPr>
        <w:t xml:space="preserve"> presente</w:t>
      </w:r>
      <w:r w:rsidR="0058466B" w:rsidRPr="006F1A75">
        <w:rPr>
          <w:i/>
        </w:rPr>
        <w:t xml:space="preserve"> </w:t>
      </w:r>
      <w:r w:rsidR="003521A4" w:rsidRPr="006F1A75">
        <w:rPr>
          <w:i/>
        </w:rPr>
        <w:t>E</w:t>
      </w:r>
      <w:r w:rsidRPr="006F1A75">
        <w:rPr>
          <w:i/>
        </w:rPr>
        <w:t>specificaci</w:t>
      </w:r>
      <w:r w:rsidR="003521A4" w:rsidRPr="006F1A75">
        <w:rPr>
          <w:i/>
        </w:rPr>
        <w:t>ó</w:t>
      </w:r>
      <w:r w:rsidRPr="006F1A75">
        <w:rPr>
          <w:i/>
        </w:rPr>
        <w:t>n</w:t>
      </w:r>
      <w:r w:rsidR="003521A4" w:rsidRPr="006F1A75">
        <w:rPr>
          <w:i/>
        </w:rPr>
        <w:t xml:space="preserve"> T</w:t>
      </w:r>
      <w:r w:rsidRPr="006F1A75">
        <w:rPr>
          <w:i/>
        </w:rPr>
        <w:t xml:space="preserve">écnica se </w:t>
      </w:r>
      <w:r w:rsidR="003F369C" w:rsidRPr="006F1A75">
        <w:rPr>
          <w:i/>
        </w:rPr>
        <w:t>ajusta</w:t>
      </w:r>
      <w:r w:rsidRPr="006F1A75">
        <w:rPr>
          <w:i/>
        </w:rPr>
        <w:t xml:space="preserve"> a</w:t>
      </w:r>
      <w:r w:rsidR="00226473" w:rsidRPr="006F1A75">
        <w:rPr>
          <w:i/>
        </w:rPr>
        <w:t xml:space="preserve"> lo establecido en el artículo 48</w:t>
      </w:r>
      <w:r w:rsidRPr="006F1A75">
        <w:rPr>
          <w:i/>
        </w:rPr>
        <w:t xml:space="preserve"> del R</w:t>
      </w:r>
      <w:r w:rsidR="00226473" w:rsidRPr="006F1A75">
        <w:rPr>
          <w:i/>
        </w:rPr>
        <w:t>égimen</w:t>
      </w:r>
      <w:r w:rsidR="001A647A" w:rsidRPr="006F1A75">
        <w:rPr>
          <w:i/>
        </w:rPr>
        <w:t xml:space="preserve"> General </w:t>
      </w:r>
      <w:r w:rsidRPr="006F1A75">
        <w:rPr>
          <w:i/>
        </w:rPr>
        <w:t>de Compras y Contrataciones del IOSFA.</w:t>
      </w:r>
    </w:p>
    <w:p w:rsidR="00D27E12" w:rsidRPr="006F1A75" w:rsidRDefault="00EA4698" w:rsidP="006F1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240" w:line="360" w:lineRule="auto"/>
        <w:ind w:firstLine="0"/>
        <w:jc w:val="both"/>
        <w:rPr>
          <w:b/>
          <w:color w:val="000000"/>
        </w:rPr>
      </w:pPr>
      <w:r w:rsidRPr="006F1A75">
        <w:rPr>
          <w:b/>
          <w:color w:val="000000"/>
        </w:rPr>
        <w:t>OBJET</w:t>
      </w:r>
      <w:r w:rsidR="006034F3" w:rsidRPr="006F1A75">
        <w:rPr>
          <w:b/>
          <w:color w:val="000000"/>
        </w:rPr>
        <w:t>IV</w:t>
      </w:r>
      <w:r w:rsidR="00D95F68" w:rsidRPr="006F1A75">
        <w:rPr>
          <w:b/>
          <w:color w:val="000000"/>
        </w:rPr>
        <w:t>O</w:t>
      </w:r>
    </w:p>
    <w:p w:rsidR="00D27E12" w:rsidRPr="006F1A75" w:rsidRDefault="00A73758" w:rsidP="006F1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  <w:rPr>
          <w:b/>
        </w:rPr>
      </w:pPr>
      <w:r w:rsidRPr="006F1A75">
        <w:t>Servicio de Fumigación y C</w:t>
      </w:r>
      <w:r w:rsidR="00CB4A49" w:rsidRPr="006F1A75">
        <w:t>ontrol de Plagas: Prevención y C</w:t>
      </w:r>
      <w:r w:rsidRPr="006F1A75">
        <w:t>ontrol de la presencia de plagas que puedan afectar la salud humana y/o la conservación de edificios y bienes, en</w:t>
      </w:r>
      <w:r w:rsidR="00664D57" w:rsidRPr="00664D57">
        <w:rPr>
          <w:sz w:val="24"/>
          <w:szCs w:val="24"/>
        </w:rPr>
        <w:t xml:space="preserve"> </w:t>
      </w:r>
      <w:r w:rsidR="00664D57" w:rsidRPr="000D2396">
        <w:rPr>
          <w:sz w:val="24"/>
          <w:szCs w:val="24"/>
        </w:rPr>
        <w:t>UTYR Ascochinga Del Instituto De La Obra Social De Las Fuerzas Armadas (IOSFA)</w:t>
      </w:r>
      <w:r w:rsidR="00664D57" w:rsidRPr="006F1A75">
        <w:t xml:space="preserve"> </w:t>
      </w:r>
      <w:r w:rsidR="00980C8F" w:rsidRPr="006F1A75">
        <w:t xml:space="preserve">en el </w:t>
      </w:r>
      <w:r w:rsidR="00E90588" w:rsidRPr="006F1A75">
        <w:t>Interior</w:t>
      </w:r>
      <w:r w:rsidR="00980C8F" w:rsidRPr="006F1A75">
        <w:t xml:space="preserve"> del país  </w:t>
      </w:r>
      <w:r w:rsidR="00E90588" w:rsidRPr="006F1A75">
        <w:t>(Apéndice 1)</w:t>
      </w:r>
      <w:r w:rsidRPr="006F1A75">
        <w:t>, manteniendo las instalaciones en óptimas condiciones de Higie</w:t>
      </w:r>
      <w:r w:rsidR="00CB4A49" w:rsidRPr="006F1A75">
        <w:t>ne y Seguridad, cumplimentando</w:t>
      </w:r>
      <w:r w:rsidRPr="006F1A75">
        <w:t xml:space="preserve"> lo establecido en la Legislación Nacional en materia de Higiene y Seguridad Laboral, evitando la proliferación de plagas. El servicio a prestar por el adjudicatario incluirá tareas </w:t>
      </w:r>
      <w:r w:rsidR="003F369C" w:rsidRPr="006F1A75">
        <w:t>de desinsectación, desinfección y</w:t>
      </w:r>
      <w:r w:rsidRPr="006F1A75">
        <w:t xml:space="preserve"> desratización</w:t>
      </w:r>
      <w:r w:rsidR="003F369C" w:rsidRPr="006F1A75">
        <w:t>.</w:t>
      </w:r>
    </w:p>
    <w:p w:rsidR="00D27E12" w:rsidRPr="004F6380" w:rsidRDefault="00A73758" w:rsidP="006F1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240" w:line="360" w:lineRule="auto"/>
        <w:ind w:firstLine="0"/>
        <w:jc w:val="both"/>
      </w:pPr>
      <w:r w:rsidRPr="006F1A75">
        <w:rPr>
          <w:b/>
        </w:rPr>
        <w:t>CONDICIONES, FRECUENCIA Y CARACTERÍSTICAS DE LOS SERVICIOS</w:t>
      </w:r>
    </w:p>
    <w:p w:rsidR="004F6380" w:rsidRDefault="004F6380" w:rsidP="004F63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240" w:line="360" w:lineRule="auto"/>
        <w:ind w:left="360"/>
        <w:jc w:val="both"/>
        <w:rPr>
          <w:b/>
        </w:rPr>
      </w:pPr>
      <w:r>
        <w:rPr>
          <w:b/>
        </w:rPr>
        <w:t>2.1 SERVICIO DE FUMIGACIÒN Y CONTROL DE PLAGAS</w:t>
      </w:r>
    </w:p>
    <w:p w:rsidR="004F6380" w:rsidRDefault="004F6380" w:rsidP="004F63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240" w:line="360" w:lineRule="auto"/>
        <w:ind w:left="360"/>
        <w:jc w:val="both"/>
      </w:pPr>
      <w:r>
        <w:t>2.1.1</w:t>
      </w:r>
      <w:r w:rsidR="00561368">
        <w:t>.</w:t>
      </w:r>
      <w:r>
        <w:t xml:space="preserve"> </w:t>
      </w:r>
      <w:r w:rsidR="00A73758" w:rsidRPr="006F1A75">
        <w:t xml:space="preserve">El Servicio consistirá en </w:t>
      </w:r>
      <w:r w:rsidR="009B5847" w:rsidRPr="006F1A75">
        <w:t>la DESINFECCIÓN, DESINSECTACIÓN Y</w:t>
      </w:r>
      <w:r w:rsidR="00A73758" w:rsidRPr="006F1A75">
        <w:t xml:space="preserve"> DESRATIZACIÓN</w:t>
      </w:r>
      <w:r>
        <w:t>.</w:t>
      </w:r>
    </w:p>
    <w:p w:rsidR="00561368" w:rsidRDefault="004F6380" w:rsidP="00561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240" w:line="360" w:lineRule="auto"/>
        <w:ind w:left="993" w:hanging="567"/>
        <w:jc w:val="both"/>
      </w:pPr>
      <w:r>
        <w:t>2.1.2</w:t>
      </w:r>
      <w:r w:rsidR="00561368">
        <w:t>.</w:t>
      </w:r>
      <w:r>
        <w:t xml:space="preserve"> </w:t>
      </w:r>
      <w:r w:rsidR="00A73758" w:rsidRPr="006F1A75">
        <w:t>SERVICIO DE FUMIGACIÓN GENERAL INTEGRAL:</w:t>
      </w:r>
      <w:r w:rsidR="00CB4A49" w:rsidRPr="006F1A75">
        <w:t xml:space="preserve"> El servicio se realizará UNA (</w:t>
      </w:r>
      <w:r w:rsidR="0072272A">
        <w:t>1) vez por año se realizara la fumigación total</w:t>
      </w:r>
      <w:r w:rsidR="00041A43" w:rsidRPr="006F1A75">
        <w:t xml:space="preserve"> y </w:t>
      </w:r>
      <w:r w:rsidR="006D03F2">
        <w:t>TRES</w:t>
      </w:r>
      <w:r w:rsidR="00135088">
        <w:t xml:space="preserve"> (3</w:t>
      </w:r>
      <w:r w:rsidR="0072272A">
        <w:t xml:space="preserve">) fumigación parcial </w:t>
      </w:r>
      <w:r w:rsidR="0072272A" w:rsidRPr="0072272A">
        <w:t>UTYR ASCOCHINGA DEL INSTITUTO DE LA OBRA SOCIAL DE LAS FUERZAS ARMADAS (IOSFA)</w:t>
      </w:r>
      <w:r w:rsidR="0072272A">
        <w:t xml:space="preserve"> del </w:t>
      </w:r>
      <w:r w:rsidR="00E7268D" w:rsidRPr="006F1A75">
        <w:t xml:space="preserve">(Apéndice 1), </w:t>
      </w:r>
      <w:r w:rsidR="00135088">
        <w:t>durante CUATRO (4</w:t>
      </w:r>
      <w:r w:rsidR="00A73758" w:rsidRPr="006F1A75">
        <w:t xml:space="preserve">) </w:t>
      </w:r>
      <w:bookmarkStart w:id="0" w:name="_GoBack"/>
      <w:bookmarkEnd w:id="0"/>
      <w:r w:rsidR="00A73758" w:rsidRPr="006F1A75">
        <w:t>meses.</w:t>
      </w:r>
      <w:r w:rsidR="00D225FA">
        <w:t xml:space="preserve"> </w:t>
      </w:r>
    </w:p>
    <w:p w:rsidR="00D27E12" w:rsidRPr="006F1A75" w:rsidRDefault="004F6380" w:rsidP="00501A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134" w:hanging="708"/>
        <w:jc w:val="both"/>
      </w:pPr>
      <w:r>
        <w:t>2.</w:t>
      </w:r>
      <w:r w:rsidR="00C16D46">
        <w:t xml:space="preserve">1.3. </w:t>
      </w:r>
      <w:r w:rsidR="00A73758" w:rsidRPr="006F1A75">
        <w:t>DESINFECCIÓN: Se deberá realizar una acción preventiva en baños, vestuarios y cocinas, mediante el sistema de pulverización de desinfectantes líquidos de primera calidad</w:t>
      </w:r>
      <w:r w:rsidR="00A174CA" w:rsidRPr="006F1A75">
        <w:t xml:space="preserve"> y de amplio espectro</w:t>
      </w:r>
      <w:r w:rsidR="00A73758" w:rsidRPr="006F1A75">
        <w:t>. Estas soluciones deberán resultar inodoras e insípidas, no nocivas al hombre y/o animales. No se aceptará ningún tipo de productos que no esté debidamente autorizado y registrado en EL MINIST</w:t>
      </w:r>
      <w:r w:rsidR="00CB4A49" w:rsidRPr="006F1A75">
        <w:t xml:space="preserve">ERIO DE SALUD Y DESARROLLO SOCIAL </w:t>
      </w:r>
      <w:r w:rsidR="00A73758" w:rsidRPr="006F1A75">
        <w:t xml:space="preserve">y por SENASA, debiendo el Adjudicatario hacer mención en su presentación de </w:t>
      </w:r>
      <w:r w:rsidR="00A73758" w:rsidRPr="006F1A75">
        <w:lastRenderedPageBreak/>
        <w:t>aquellos que utilizará, conjuntamente con su composición química y nro. de certificado extendido por el ente citado.</w:t>
      </w:r>
    </w:p>
    <w:p w:rsidR="00D27E12" w:rsidRDefault="00C16D46" w:rsidP="00501A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993" w:hanging="567"/>
        <w:jc w:val="both"/>
      </w:pPr>
      <w:r>
        <w:t>2.1.4</w:t>
      </w:r>
      <w:r w:rsidR="00820371">
        <w:t>.</w:t>
      </w:r>
      <w:r w:rsidR="00820371" w:rsidRPr="006F1A75">
        <w:t xml:space="preserve"> DESINSECTACIÓN</w:t>
      </w:r>
      <w:r w:rsidR="00A73758" w:rsidRPr="006F1A75">
        <w:t xml:space="preserve">: Se deberá realizar una acción preventiva en todos los sectores a tratar mediante el sistema de pulverización de insecticidas líquidos del grupo de los piretroides de primera calidad, preferentemente aquellas formulaciones que no provoquen efectos irritantes y transitorios a nivel de las mucosas. Se deberá ejecutar de tal manera que el efecto del tratamiento alcance todas las instalaciones, todas sus partes, todo tipo de muebles y equipos donde puedan llegar las especies que se combaten, como ser: accesos, pasillos, patios, escaleras, balcones, techos, entretechos, cloacales y otros conductos, cielorrasos, paredes, pisos y zócalos, fosas y cabinas de ascensores, estanterías, armarios, escritorios, monitores, teclados, teléfonos, heladeras, microondas, botiquines, alfombras, sanitarios, etc. Se pondrá mayor énfasis en los lugares de mayor probabilidad de </w:t>
      </w:r>
      <w:r w:rsidR="003F4B31" w:rsidRPr="006F1A75">
        <w:t>anidación</w:t>
      </w:r>
      <w:r w:rsidR="00A73758" w:rsidRPr="006F1A75">
        <w:t xml:space="preserve"> (cucarachas, pulgas, piojos, chinches, y otras plagas). En los sectores como oficinas </w:t>
      </w:r>
      <w:r w:rsidR="00CB4A49" w:rsidRPr="006F1A75">
        <w:t>o áreas de trabajo en donde el p</w:t>
      </w:r>
      <w:r w:rsidR="00A73758" w:rsidRPr="006F1A75">
        <w:t xml:space="preserve">ersonal no pueda desalojar, se preverá la utilización de geles para el control de plagas, en ambientes grandes, abiertos o cerrados, se utilizará equipos de </w:t>
      </w:r>
      <w:proofErr w:type="spellStart"/>
      <w:r w:rsidR="00A73758" w:rsidRPr="006F1A75">
        <w:t>motopulverización</w:t>
      </w:r>
      <w:proofErr w:type="spellEnd"/>
      <w:r w:rsidR="00A73758" w:rsidRPr="006F1A75">
        <w:t>, además de mochila con alcance ver</w:t>
      </w:r>
      <w:r w:rsidR="00CB4A49" w:rsidRPr="006F1A75">
        <w:t>tical de aproximadamente SEIS (</w:t>
      </w:r>
      <w:r w:rsidR="00A73758" w:rsidRPr="006F1A75">
        <w:t>6) metros, utilizando para tal fin, productos que no manchen ni perjudiq</w:t>
      </w:r>
      <w:r w:rsidR="00CB4A49" w:rsidRPr="006F1A75">
        <w:t>uen los bienes ni la salud del p</w:t>
      </w:r>
      <w:r w:rsidR="00A73758" w:rsidRPr="006F1A75">
        <w:t>ersonal de las áreas tratadas. Estos productos de acción polivalente deberán poseer un espectro</w:t>
      </w:r>
      <w:r w:rsidR="00A174CA" w:rsidRPr="006F1A75">
        <w:t xml:space="preserve"> residual prolongado</w:t>
      </w:r>
      <w:r w:rsidR="00A73758" w:rsidRPr="006F1A75">
        <w:t xml:space="preserve"> de aproximadamente 30 a 45 días. No se a</w:t>
      </w:r>
      <w:r w:rsidR="00A174CA" w:rsidRPr="006F1A75">
        <w:t>ceptará ningún tipo de producto</w:t>
      </w:r>
      <w:r w:rsidR="00A73758" w:rsidRPr="006F1A75">
        <w:t xml:space="preserve"> que no esté debidamente autorizado y registrado por E</w:t>
      </w:r>
      <w:r w:rsidR="00CB4A49" w:rsidRPr="006F1A75">
        <w:t>L MINISTERIO DE SALUD Y DESARROLLO SOCIAL</w:t>
      </w:r>
      <w:r w:rsidR="00A73758" w:rsidRPr="006F1A75">
        <w:t xml:space="preserve"> y por SENASA, debiendo el Adjudicatario hacer mención en su presentación de aquellos que utilizará, conjuntamente con su composición química y nro. de certificado extendido por el ente citado.</w:t>
      </w:r>
    </w:p>
    <w:p w:rsidR="00996E58" w:rsidRPr="006F1A75" w:rsidRDefault="00996E58" w:rsidP="00501A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993" w:hanging="567"/>
        <w:jc w:val="both"/>
      </w:pPr>
    </w:p>
    <w:p w:rsidR="00D27E12" w:rsidRPr="006F1A75" w:rsidRDefault="00C16D46" w:rsidP="00561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993" w:hanging="567"/>
        <w:jc w:val="both"/>
      </w:pPr>
      <w:r>
        <w:t xml:space="preserve">2.1.5. </w:t>
      </w:r>
      <w:r w:rsidR="00A73758" w:rsidRPr="006F1A75">
        <w:t>DESRATIZACIÓN: Se deberá realizar con productos adecuados</w:t>
      </w:r>
      <w:r w:rsidR="00A174CA" w:rsidRPr="006F1A75">
        <w:t xml:space="preserve"> a cada caso,</w:t>
      </w:r>
      <w:r w:rsidR="00501A38">
        <w:t xml:space="preserve"> de primera </w:t>
      </w:r>
      <w:r w:rsidR="00A73758" w:rsidRPr="006F1A75">
        <w:t>calidad que no afecten la integridad física de las personas y/o animales. Se comprenderá la detección de focos y de áreas comprometidas y/o d</w:t>
      </w:r>
      <w:r w:rsidR="00A174CA" w:rsidRPr="006F1A75">
        <w:t>e probable acceso de roedores, con</w:t>
      </w:r>
      <w:r w:rsidR="00A73758" w:rsidRPr="006F1A75">
        <w:t xml:space="preserve"> la aplicación de cebos sólidos, en dosis recomendadas, en recipientes </w:t>
      </w:r>
      <w:proofErr w:type="spellStart"/>
      <w:r w:rsidR="00A73758" w:rsidRPr="006F1A75">
        <w:t>involcables</w:t>
      </w:r>
      <w:proofErr w:type="spellEnd"/>
      <w:r w:rsidR="00A73758" w:rsidRPr="006F1A75">
        <w:t xml:space="preserve"> de composición plástica, u otro medio efectivo en la cantidad y con la distribución que corresponda para control de la población de roedores. </w:t>
      </w:r>
    </w:p>
    <w:p w:rsidR="00D27E12" w:rsidRPr="00561368" w:rsidRDefault="00A73758" w:rsidP="00561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993"/>
        <w:jc w:val="both"/>
      </w:pPr>
      <w:r w:rsidRPr="006F1A75">
        <w:t xml:space="preserve">Los cebos deberán estar rotulados con un cartel de prevenga su toxicidad a los seres humanos, y detallar números de teléfono donde acudir por cualquier emergencia de </w:t>
      </w:r>
      <w:r w:rsidRPr="006F1A75">
        <w:lastRenderedPageBreak/>
        <w:t>intoxicación. También se preverá la colocación de elementos mecánicos tales como trampas y/o bandejas con pegamentos, entre otros, en los lugares considerados críticos (cocinas, comedores, depósitos de víveres y cafeterías) donde</w:t>
      </w:r>
      <w:r w:rsidR="00685AC4" w:rsidRPr="006F1A75">
        <w:t xml:space="preserve"> se</w:t>
      </w:r>
      <w:r w:rsidRPr="006F1A75">
        <w:t xml:space="preserve"> de</w:t>
      </w:r>
      <w:r w:rsidR="00685AC4" w:rsidRPr="006F1A75">
        <w:t>berá renovar e incrementar</w:t>
      </w:r>
      <w:r w:rsidR="0082528F" w:rsidRPr="006F1A75">
        <w:t xml:space="preserve"> </w:t>
      </w:r>
      <w:r w:rsidRPr="006F1A75">
        <w:t xml:space="preserve">de acuerdo a la necesidad. </w:t>
      </w:r>
    </w:p>
    <w:p w:rsidR="00D27E12" w:rsidRPr="006F1A75" w:rsidRDefault="00A73758" w:rsidP="00561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993"/>
        <w:jc w:val="both"/>
      </w:pPr>
      <w:r w:rsidRPr="006F1A75">
        <w:t xml:space="preserve">El Adjudicatario será el responsable de proceder al retiro de roedores muertos dentro de las </w:t>
      </w:r>
      <w:r w:rsidR="00655038" w:rsidRPr="006F1A75">
        <w:t>12</w:t>
      </w:r>
      <w:r w:rsidRPr="006F1A75">
        <w:t xml:space="preserve"> horas de denunciado, los mismos serán dispuestos en recipientes adecuados y retirados del lugar para su disposición final, y si se encontrasen en estado de descomposición, efectuar una severa desinfección a los fines de eliminar todo foco infeccioso y emanaciones que pudieran haberse producido.</w:t>
      </w:r>
    </w:p>
    <w:p w:rsidR="00D27E12" w:rsidRPr="006F1A75" w:rsidRDefault="00A73758" w:rsidP="00561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993"/>
        <w:jc w:val="both"/>
      </w:pPr>
      <w:r w:rsidRPr="006F1A75">
        <w:t>No se a</w:t>
      </w:r>
      <w:r w:rsidR="00685AC4" w:rsidRPr="006F1A75">
        <w:t>ceptará ningún tipo de producto</w:t>
      </w:r>
      <w:r w:rsidRPr="006F1A75">
        <w:t xml:space="preserve"> que no esté debidamente autorizado y registrado por </w:t>
      </w:r>
      <w:r w:rsidR="00CB4A49" w:rsidRPr="006F1A75">
        <w:t xml:space="preserve">EL MINISTERIO DE SALUD Y DESARROLLO SOCIAL </w:t>
      </w:r>
      <w:r w:rsidRPr="006F1A75">
        <w:t>y el SENASA, debiendo el Adjudicatario hacer mención en su presentación de aquellos que utilizará, conjuntamente con su composición química y nro. de certificado extendido por el ente citado.</w:t>
      </w:r>
    </w:p>
    <w:p w:rsidR="00D27E12" w:rsidRDefault="00C16D46" w:rsidP="005613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993" w:hanging="567"/>
        <w:jc w:val="both"/>
      </w:pPr>
      <w:r>
        <w:t>2.1.6.</w:t>
      </w:r>
      <w:r w:rsidR="00561368">
        <w:t xml:space="preserve"> </w:t>
      </w:r>
      <w:r w:rsidR="00AE5205" w:rsidRPr="006F1A75">
        <w:t>IMPORTANTE: P</w:t>
      </w:r>
      <w:r w:rsidR="00A73758" w:rsidRPr="006F1A75">
        <w:t xml:space="preserve">ara los puntos mencionados anteriormente, el adjudicatario propondrá los productos y/o drogas a utilizar en el servicio, siendo estos autorizados por </w:t>
      </w:r>
      <w:r w:rsidR="00CB4A49" w:rsidRPr="006F1A75">
        <w:t xml:space="preserve">EL MINISTERIO DE SALUD Y DESARROLLO SOCIAL </w:t>
      </w:r>
      <w:r w:rsidR="00A6431B" w:rsidRPr="006F1A75">
        <w:t xml:space="preserve">Y AMBIENTE y el SENASA </w:t>
      </w:r>
      <w:r w:rsidR="00A73758" w:rsidRPr="006F1A75">
        <w:t>para su uso y que c</w:t>
      </w:r>
      <w:r w:rsidR="00A6431B" w:rsidRPr="006F1A75">
        <w:t>umplan con normas de calidad ISO</w:t>
      </w:r>
      <w:r w:rsidR="00A73758" w:rsidRPr="006F1A75">
        <w:t xml:space="preserve"> 9001:20</w:t>
      </w:r>
      <w:r w:rsidR="00A6431B" w:rsidRPr="006F1A75">
        <w:t>15</w:t>
      </w:r>
      <w:r w:rsidR="00A73758" w:rsidRPr="006F1A75">
        <w:t xml:space="preserve">. El oferente deberá indicar la resolución del organismo que aprueba su utilización. </w:t>
      </w:r>
    </w:p>
    <w:p w:rsidR="00EB5DF5" w:rsidRPr="006F2CC9" w:rsidRDefault="00EB5DF5" w:rsidP="006F2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240" w:line="360" w:lineRule="auto"/>
        <w:ind w:firstLine="0"/>
        <w:jc w:val="both"/>
        <w:rPr>
          <w:b/>
        </w:rPr>
      </w:pPr>
      <w:r w:rsidRPr="006F2CC9">
        <w:rPr>
          <w:b/>
        </w:rPr>
        <w:t>LIBROS A IMPLEMENTAR POR EL ADJUDICATARIO</w:t>
      </w:r>
    </w:p>
    <w:p w:rsidR="00EB5DF5" w:rsidRPr="006F2CC9" w:rsidRDefault="00EB5DF5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  <w:rPr>
          <w:color w:val="000000"/>
        </w:rPr>
      </w:pPr>
      <w:r w:rsidRPr="006F2CC9">
        <w:rPr>
          <w:color w:val="000000"/>
        </w:rPr>
        <w:t>LIBRO DE ÓRDENES DE SERVICIO:</w:t>
      </w:r>
    </w:p>
    <w:p w:rsidR="00EB5DF5" w:rsidRPr="006F1A75" w:rsidRDefault="00EB5DF5" w:rsidP="006F2C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  <w:tab w:val="left" w:pos="2410"/>
        </w:tabs>
        <w:spacing w:before="120" w:after="120" w:line="360" w:lineRule="auto"/>
        <w:ind w:left="2268" w:hanging="850"/>
        <w:jc w:val="both"/>
        <w:rPr>
          <w:color w:val="000000"/>
        </w:rPr>
      </w:pPr>
      <w:r w:rsidRPr="006F1A75">
        <w:rPr>
          <w:color w:val="000000"/>
        </w:rPr>
        <w:t xml:space="preserve">Se utilizará un libro foliado, a los efectos de documentar las instrucciones, comunicaciones y/u observaciones que referidas al contrato disponga la Comisión de Recepción del IOSFA. </w:t>
      </w:r>
    </w:p>
    <w:p w:rsidR="00EB5DF5" w:rsidRPr="006F1A75" w:rsidRDefault="00EB5DF5" w:rsidP="006F2C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  <w:tab w:val="left" w:pos="2410"/>
        </w:tabs>
        <w:spacing w:before="120" w:after="120" w:line="360" w:lineRule="auto"/>
        <w:ind w:left="2268" w:hanging="850"/>
        <w:jc w:val="both"/>
        <w:rPr>
          <w:color w:val="000000"/>
        </w:rPr>
      </w:pPr>
      <w:r w:rsidRPr="006F1A75">
        <w:rPr>
          <w:color w:val="000000"/>
        </w:rPr>
        <w:t xml:space="preserve">Es obligación del representante de la empresa adjudicataria en el organismo o aquel que </w:t>
      </w:r>
      <w:proofErr w:type="spellStart"/>
      <w:r w:rsidRPr="006F1A75">
        <w:rPr>
          <w:color w:val="000000"/>
        </w:rPr>
        <w:t>recepcione</w:t>
      </w:r>
      <w:proofErr w:type="spellEnd"/>
      <w:r w:rsidRPr="006F1A75">
        <w:rPr>
          <w:color w:val="000000"/>
        </w:rPr>
        <w:t xml:space="preserve"> alguna comunicación, de firmar la misma, aclarando la firma e indicando la fecha y hora. A todos los efectos se considerará como transmitido oficialmente las notas que en esta forma se cursen.</w:t>
      </w:r>
    </w:p>
    <w:p w:rsidR="00C570C8" w:rsidRDefault="00EB5DF5" w:rsidP="006F2C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  <w:tab w:val="left" w:pos="2410"/>
        </w:tabs>
        <w:spacing w:before="120" w:after="120" w:line="360" w:lineRule="auto"/>
        <w:ind w:left="2268" w:hanging="850"/>
        <w:jc w:val="both"/>
        <w:rPr>
          <w:color w:val="000000"/>
        </w:rPr>
      </w:pPr>
      <w:r w:rsidRPr="006F1A75">
        <w:rPr>
          <w:color w:val="000000"/>
        </w:rPr>
        <w:t>El encargado del servicio deberá diariamente revisar las Órdenes de Servicio asentadas en el libro y tramitarlas. Se considerará como notificada pasadas las VEINTICUATRO (24) horas desde su asentamiento.</w:t>
      </w:r>
    </w:p>
    <w:p w:rsidR="00920885" w:rsidRPr="006F1A75" w:rsidRDefault="00920885" w:rsidP="009208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  <w:tab w:val="left" w:pos="2410"/>
        </w:tabs>
        <w:spacing w:before="120" w:after="120" w:line="360" w:lineRule="auto"/>
        <w:ind w:left="2268"/>
        <w:jc w:val="both"/>
        <w:rPr>
          <w:color w:val="000000"/>
        </w:rPr>
      </w:pPr>
    </w:p>
    <w:p w:rsidR="00EB5DF5" w:rsidRPr="00920885" w:rsidRDefault="00EB5DF5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  <w:rPr>
          <w:b/>
          <w:color w:val="000000"/>
        </w:rPr>
      </w:pPr>
      <w:r w:rsidRPr="00920885">
        <w:rPr>
          <w:b/>
          <w:color w:val="000000"/>
        </w:rPr>
        <w:t>LIBRO DE TRABAJOS REALIZADOS:</w:t>
      </w:r>
    </w:p>
    <w:p w:rsidR="00EB5DF5" w:rsidRPr="006F1A75" w:rsidRDefault="00EB5DF5" w:rsidP="006F2C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  <w:tab w:val="left" w:pos="2410"/>
        </w:tabs>
        <w:spacing w:before="120" w:after="120" w:line="360" w:lineRule="auto"/>
        <w:ind w:left="2268" w:hanging="850"/>
        <w:jc w:val="both"/>
        <w:rPr>
          <w:color w:val="000000"/>
        </w:rPr>
      </w:pPr>
      <w:r w:rsidRPr="006F1A75">
        <w:rPr>
          <w:color w:val="000000"/>
        </w:rPr>
        <w:t xml:space="preserve"> El adjudicatario implementará con sus operarios la confección de un libro, donde se asentarán todos los trabajos, tareas o actividades que desarrollen diariamente, el cual será presentado para su visado a la </w:t>
      </w:r>
      <w:r w:rsidR="00C26BC2" w:rsidRPr="006F1A75">
        <w:rPr>
          <w:color w:val="000000"/>
        </w:rPr>
        <w:t>Unidad de</w:t>
      </w:r>
      <w:r w:rsidRPr="006F1A75">
        <w:rPr>
          <w:color w:val="000000"/>
        </w:rPr>
        <w:t xml:space="preserve"> Mantenimiento y Servicios </w:t>
      </w:r>
      <w:r w:rsidR="00C26BC2" w:rsidRPr="006F1A75">
        <w:rPr>
          <w:color w:val="000000"/>
        </w:rPr>
        <w:t xml:space="preserve">Generales </w:t>
      </w:r>
      <w:r w:rsidRPr="006F1A75">
        <w:rPr>
          <w:color w:val="000000"/>
        </w:rPr>
        <w:t>y/o según corresponda en cada dependencia, en todas las oportunidades que le sea requerido.</w:t>
      </w:r>
    </w:p>
    <w:p w:rsidR="00EB5DF5" w:rsidRDefault="00EB5DF5" w:rsidP="006F2C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  <w:tab w:val="left" w:pos="2410"/>
        </w:tabs>
        <w:spacing w:before="120" w:after="120" w:line="360" w:lineRule="auto"/>
        <w:ind w:left="2268" w:hanging="850"/>
        <w:jc w:val="both"/>
        <w:rPr>
          <w:color w:val="000000"/>
        </w:rPr>
      </w:pPr>
      <w:r w:rsidRPr="006F1A75">
        <w:rPr>
          <w:color w:val="000000"/>
        </w:rPr>
        <w:t>Los libros indicados en los puntos anteriores serán provistos por la empresa adjudicataria con la documentación del Apéndice 2 de la E.T. “Documentación técnica a presentar para inicio prestación del servicio”.</w:t>
      </w:r>
    </w:p>
    <w:p w:rsidR="00996E58" w:rsidRPr="006F1A75" w:rsidRDefault="00996E58" w:rsidP="00996E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  <w:tab w:val="left" w:pos="2410"/>
        </w:tabs>
        <w:spacing w:before="120" w:after="120" w:line="360" w:lineRule="auto"/>
        <w:ind w:left="360"/>
        <w:jc w:val="both"/>
        <w:rPr>
          <w:color w:val="000000"/>
        </w:rPr>
      </w:pPr>
    </w:p>
    <w:p w:rsidR="00D9708A" w:rsidRPr="006F1A75" w:rsidRDefault="00A73758" w:rsidP="006F2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240" w:line="360" w:lineRule="auto"/>
        <w:ind w:firstLine="0"/>
        <w:jc w:val="both"/>
        <w:rPr>
          <w:b/>
          <w:color w:val="000000"/>
        </w:rPr>
      </w:pPr>
      <w:r w:rsidRPr="006F1A75">
        <w:rPr>
          <w:b/>
          <w:color w:val="000000"/>
        </w:rPr>
        <w:t xml:space="preserve">CERTIFICADO MENSUAL DEL SERVICIO PRESTADO </w:t>
      </w:r>
    </w:p>
    <w:p w:rsidR="003532E6" w:rsidRPr="006F1A75" w:rsidRDefault="00A73758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</w:pPr>
      <w:r w:rsidRPr="006F1A75">
        <w:t xml:space="preserve">El Adjudicatario emitirá certificados u obleas según los requerimientos de los </w:t>
      </w:r>
      <w:r w:rsidR="000E004E" w:rsidRPr="006F1A75">
        <w:t>organismos</w:t>
      </w:r>
      <w:r w:rsidRPr="006F1A75">
        <w:t xml:space="preserve"> de controles gubernamentales locales</w:t>
      </w:r>
      <w:r w:rsidR="00B60FA0" w:rsidRPr="006F1A75">
        <w:t xml:space="preserve"> en sobre cerrado</w:t>
      </w:r>
      <w:r w:rsidRPr="006F1A75">
        <w:t xml:space="preserve">, </w:t>
      </w:r>
      <w:r w:rsidR="003532E6" w:rsidRPr="006F1A75">
        <w:t>en cada dependencia</w:t>
      </w:r>
      <w:r w:rsidRPr="006F1A75">
        <w:t>, con firma de su representante técnico. El certificado incluirá</w:t>
      </w:r>
      <w:r w:rsidR="000E004E" w:rsidRPr="006F1A75">
        <w:t xml:space="preserve"> mínimamente el</w:t>
      </w:r>
      <w:r w:rsidRPr="006F1A75">
        <w:t xml:space="preserve"> detalle de los productos utilizados, su descripción y cantidad aplicada en cada caso.</w:t>
      </w:r>
    </w:p>
    <w:p w:rsidR="00D27E12" w:rsidRPr="006F1A75" w:rsidRDefault="00A73758" w:rsidP="006F2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240" w:line="360" w:lineRule="auto"/>
        <w:ind w:firstLine="0"/>
        <w:jc w:val="both"/>
        <w:rPr>
          <w:b/>
          <w:color w:val="000000"/>
        </w:rPr>
      </w:pPr>
      <w:r w:rsidRPr="006F1A75">
        <w:rPr>
          <w:b/>
          <w:color w:val="000000"/>
        </w:rPr>
        <w:t>OTRAS CONSIDERACIONES</w:t>
      </w:r>
    </w:p>
    <w:p w:rsidR="00D27E12" w:rsidRPr="006F1A75" w:rsidRDefault="00A73758" w:rsidP="006F1A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709"/>
        <w:jc w:val="both"/>
        <w:rPr>
          <w:color w:val="000000"/>
        </w:rPr>
      </w:pPr>
      <w:r w:rsidRPr="006F1A75">
        <w:rPr>
          <w:color w:val="000000"/>
        </w:rPr>
        <w:t xml:space="preserve">Durante la vigencia de este </w:t>
      </w:r>
      <w:r w:rsidR="00226EEB" w:rsidRPr="006F1A75">
        <w:rPr>
          <w:color w:val="000000"/>
        </w:rPr>
        <w:t>contrato</w:t>
      </w:r>
      <w:r w:rsidRPr="006F1A75">
        <w:rPr>
          <w:color w:val="000000"/>
        </w:rPr>
        <w:t>, la empresa adjudicataria deberá:</w:t>
      </w:r>
    </w:p>
    <w:p w:rsidR="00D27E12" w:rsidRPr="006F1A75" w:rsidRDefault="00A73758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</w:pPr>
      <w:r w:rsidRPr="006F1A75">
        <w:t xml:space="preserve">El personal que se presente a cumplir con el servicio de fumigación, deberá </w:t>
      </w:r>
      <w:r w:rsidR="000E004E" w:rsidRPr="006F1A75">
        <w:t>cumplir de manera obligatoria con el uniforme debiendo contener el</w:t>
      </w:r>
      <w:r w:rsidRPr="006F1A75">
        <w:t xml:space="preserve"> logo de la empresa visible en sus prendas, y con la dotación de </w:t>
      </w:r>
      <w:r w:rsidR="00226EEB" w:rsidRPr="006F1A75">
        <w:t>E</w:t>
      </w:r>
      <w:r w:rsidRPr="006F1A75">
        <w:t xml:space="preserve">lementos de </w:t>
      </w:r>
      <w:r w:rsidR="00226EEB" w:rsidRPr="006F1A75">
        <w:t>P</w:t>
      </w:r>
      <w:r w:rsidRPr="006F1A75">
        <w:t xml:space="preserve">rotección </w:t>
      </w:r>
      <w:r w:rsidR="00226EEB" w:rsidRPr="006F1A75">
        <w:t>P</w:t>
      </w:r>
      <w:r w:rsidRPr="006F1A75">
        <w:t>ersonal acorde a la cantidad de operarios</w:t>
      </w:r>
      <w:r w:rsidR="000E004E" w:rsidRPr="006F1A75">
        <w:t>.</w:t>
      </w:r>
    </w:p>
    <w:p w:rsidR="00D27E12" w:rsidRPr="006F1A75" w:rsidRDefault="00A73758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</w:pPr>
      <w:r w:rsidRPr="006F1A75">
        <w:t>El personal del Adjudicatario deberá obedecer las órdenes que imparta el encargado que IOSFA designe en los Edificios para la supervisión y vigilancia de las tareas. La falta de respeto o cualquier otro acto de incorrección que se cometa, que a juicio de IOSFA perjudique la normal ejecución de las tareas, permitirá a ésta exigir el inmediato reemplazo del personal que preste el servicio.</w:t>
      </w:r>
    </w:p>
    <w:p w:rsidR="00D27E12" w:rsidRPr="006F1A75" w:rsidRDefault="00A73758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</w:pPr>
      <w:r w:rsidRPr="006F1A75">
        <w:t xml:space="preserve">No podrá conceptuarse como trabajo adicional todo aquel que no estando </w:t>
      </w:r>
      <w:r w:rsidRPr="006F1A75">
        <w:lastRenderedPageBreak/>
        <w:t xml:space="preserve">expresamente indicado en los presentes términos, fuese necesario realizar a fin de obtener un servicio óptimo, en razón de que la Firma adjudicataria está obligada a prestar un servicio integral </w:t>
      </w:r>
      <w:r w:rsidR="005A5570" w:rsidRPr="006F1A75">
        <w:t xml:space="preserve">conforme </w:t>
      </w:r>
      <w:r w:rsidRPr="006F1A75">
        <w:t>A</w:t>
      </w:r>
      <w:r w:rsidR="00A82D44" w:rsidRPr="006F1A75">
        <w:t>péndice</w:t>
      </w:r>
      <w:r w:rsidRPr="006F1A75">
        <w:t xml:space="preserve"> 1.</w:t>
      </w:r>
    </w:p>
    <w:p w:rsidR="00D27E12" w:rsidRPr="006F1A75" w:rsidRDefault="000E004E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</w:pPr>
      <w:r w:rsidRPr="006F1A75">
        <w:t>E</w:t>
      </w:r>
      <w:r w:rsidR="00A73758" w:rsidRPr="006F1A75">
        <w:t xml:space="preserve">l Adjudicatario deberá ajustarse a las siguientes normativas </w:t>
      </w:r>
      <w:r w:rsidR="00AB2E09" w:rsidRPr="006F1A75">
        <w:t>vigentes: Ley</w:t>
      </w:r>
      <w:r w:rsidR="00A73758" w:rsidRPr="006F1A75">
        <w:t xml:space="preserve"> N° 19.587, Ley N° 24.527 y Ley N° 26.773/12, Decreto N° 170/96 y Decreto N° 911/96 y Resoluciones de la SRT N° 231/96, 51/97, 35/98, 319/99, 552/01 y la 550/11.</w:t>
      </w:r>
    </w:p>
    <w:p w:rsidR="003E0A83" w:rsidRPr="006F1A75" w:rsidRDefault="00F055DC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418" w:hanging="709"/>
        <w:jc w:val="both"/>
      </w:pPr>
      <w:r w:rsidRPr="006F1A75">
        <w:t xml:space="preserve">El adjudicatario deberá contar con un servicio de guardia permanente y concurrir a las instalaciones las veces que sean necesarias, para solucionar cualquier inconveniente que se presente en las instalaciones, motivo de la presente Licitación. </w:t>
      </w:r>
    </w:p>
    <w:p w:rsidR="0021033B" w:rsidRDefault="00F055DC" w:rsidP="006F2C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240" w:line="360" w:lineRule="auto"/>
        <w:ind w:left="1134" w:hanging="425"/>
        <w:jc w:val="both"/>
      </w:pPr>
      <w:r w:rsidRPr="006F1A75">
        <w:t xml:space="preserve">En todos los casos se deberá asegurar el estricto control de las plagas tanto en medidas preventivas como curativas. </w:t>
      </w:r>
    </w:p>
    <w:p w:rsidR="00254E7F" w:rsidRPr="00D06BC0" w:rsidRDefault="00254E7F" w:rsidP="00254E7F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/>
          <w:sz w:val="24"/>
          <w:szCs w:val="24"/>
          <w:lang w:eastAsia="es-AR"/>
        </w:rPr>
      </w:pPr>
      <w:r w:rsidRPr="00D06BC0">
        <w:rPr>
          <w:b/>
          <w:sz w:val="24"/>
          <w:szCs w:val="24"/>
          <w:lang w:eastAsia="es-AR"/>
        </w:rPr>
        <w:t>INCUMPLIMIENTOS</w:t>
      </w:r>
      <w:r w:rsidRPr="00D06BC0">
        <w:rPr>
          <w:b/>
          <w:sz w:val="24"/>
          <w:szCs w:val="24"/>
          <w:lang w:eastAsia="es-AR"/>
        </w:rPr>
        <w:tab/>
      </w:r>
    </w:p>
    <w:p w:rsidR="00254E7F" w:rsidRPr="00E32A1A" w:rsidRDefault="00920885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6</w:t>
      </w:r>
      <w:r w:rsidR="00254E7F" w:rsidRPr="00EE39F5">
        <w:rPr>
          <w:sz w:val="24"/>
          <w:szCs w:val="24"/>
          <w:lang w:eastAsia="es-AR"/>
        </w:rPr>
        <w:t xml:space="preserve">.1. </w:t>
      </w:r>
      <w:r w:rsidR="00254E7F" w:rsidRPr="00E32A1A">
        <w:rPr>
          <w:sz w:val="24"/>
          <w:szCs w:val="24"/>
          <w:lang w:eastAsia="es-AR"/>
        </w:rPr>
        <w:t>El IOSFA contralará minuciosamente la prestación de</w:t>
      </w:r>
      <w:r w:rsidR="00254E7F">
        <w:rPr>
          <w:sz w:val="24"/>
          <w:szCs w:val="24"/>
          <w:lang w:eastAsia="es-AR"/>
        </w:rPr>
        <w:t xml:space="preserve">l servicio y sus resultados. El </w:t>
      </w:r>
      <w:r w:rsidR="00254E7F" w:rsidRPr="00E32A1A">
        <w:rPr>
          <w:sz w:val="24"/>
          <w:szCs w:val="24"/>
          <w:lang w:eastAsia="es-AR"/>
        </w:rPr>
        <w:t>NO CUMPLIMIENTO de las pautas establecidas en el presente pliego, la falta de resultados satisfactorios, como así también la falta de entrega de documentación en tiempo y forma, deberán ser subsanadas de inmediato en forma adecuada, y tomar las consideraciones necesarias a efectos de que no se reiteren, situación contraria, darán lugar a la aplicación de PENALIDADES según el siguiente detalle:</w:t>
      </w:r>
    </w:p>
    <w:p w:rsidR="00254E7F" w:rsidRPr="00E32A1A" w:rsidRDefault="00920885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6</w:t>
      </w:r>
      <w:r w:rsidR="00254E7F" w:rsidRPr="00E32A1A">
        <w:rPr>
          <w:sz w:val="24"/>
          <w:szCs w:val="24"/>
          <w:lang w:eastAsia="es-AR"/>
        </w:rPr>
        <w:t xml:space="preserve">.2 Las observaciones y/o tareas no cumplidas o que hubieren sido ejecutadas de manera incorrecta, serán asentadas en el libro de </w:t>
      </w:r>
      <w:proofErr w:type="spellStart"/>
      <w:r w:rsidR="00254E7F" w:rsidRPr="00E32A1A">
        <w:rPr>
          <w:sz w:val="24"/>
          <w:szCs w:val="24"/>
          <w:lang w:eastAsia="es-AR"/>
        </w:rPr>
        <w:t>ordenes</w:t>
      </w:r>
      <w:proofErr w:type="spellEnd"/>
      <w:r w:rsidR="00254E7F" w:rsidRPr="00E32A1A">
        <w:rPr>
          <w:sz w:val="24"/>
          <w:szCs w:val="24"/>
          <w:lang w:eastAsia="es-AR"/>
        </w:rPr>
        <w:t xml:space="preserve"> de servicio establecido en el presente pliego a modo de notificación fehaciente, teniendo la empresa un plazo de 24hs. Hábiles para su subsanación, salvo que en la misma acta establezca un plazo perentorio mayor.</w:t>
      </w:r>
    </w:p>
    <w:p w:rsidR="00254E7F" w:rsidRPr="00E32A1A" w:rsidRDefault="00920885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6</w:t>
      </w:r>
      <w:r w:rsidR="00254E7F" w:rsidRPr="00E32A1A">
        <w:rPr>
          <w:sz w:val="24"/>
          <w:szCs w:val="24"/>
          <w:lang w:eastAsia="es-AR"/>
        </w:rPr>
        <w:t>.3 Una vez finalizado el trabajo conforme lo solicitado en el punto anterior, la empresa deberá contactar a la Comisión de Recepción o quien estuviere designado para ejercitar esta función, solicitando su inspección y conformidad.</w:t>
      </w:r>
    </w:p>
    <w:p w:rsidR="00254E7F" w:rsidRPr="00E32A1A" w:rsidRDefault="00920885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6</w:t>
      </w:r>
      <w:r w:rsidR="00254E7F" w:rsidRPr="00E32A1A">
        <w:rPr>
          <w:sz w:val="24"/>
          <w:szCs w:val="24"/>
          <w:lang w:eastAsia="es-AR"/>
        </w:rPr>
        <w:t>.4 En caso de que el adjudicatario no informara que las observaciones han sido subsanadas, o bien no satisfacer la prestación del servicio con la calidad requerida, podrá solicitar una prórroga no mayor a 24 hs. hábiles, siendo este el último termino antes de transformarse en un incumplimiento.</w:t>
      </w:r>
    </w:p>
    <w:p w:rsidR="00254E7F" w:rsidRPr="00E32A1A" w:rsidRDefault="00920885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lastRenderedPageBreak/>
        <w:t>6</w:t>
      </w:r>
      <w:r w:rsidR="00254E7F" w:rsidRPr="00E32A1A">
        <w:rPr>
          <w:sz w:val="24"/>
          <w:szCs w:val="24"/>
          <w:lang w:eastAsia="es-AR"/>
        </w:rPr>
        <w:t>.5 Ante situaciones en que el adjudicatario o su representante autorizado no se encuentren en IOSFA Central o sus Dependencias, o bien se negaren a notificarse, las Observaciones se considerarán comunicadas fehacientemente al momento de enviarlas al correo electrónico que el Adjudicatario haya definido para comunicaciones oficiales.</w:t>
      </w:r>
    </w:p>
    <w:p w:rsidR="00254E7F" w:rsidRPr="00E32A1A" w:rsidRDefault="00920885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6</w:t>
      </w:r>
      <w:r w:rsidR="00254E7F" w:rsidRPr="00E32A1A">
        <w:rPr>
          <w:sz w:val="24"/>
          <w:szCs w:val="24"/>
          <w:lang w:eastAsia="es-AR"/>
        </w:rPr>
        <w:t>.6 Entiéndase por UN (1) incumplimiento a todo apartamiento fehaciente de los compromisos asumidos en los pliegos de la contratación, por parte del adjudicatario posteriores a la intimación del punto inmediato anterior.</w:t>
      </w:r>
    </w:p>
    <w:p w:rsidR="00DF1A0F" w:rsidRDefault="00920885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6</w:t>
      </w:r>
      <w:r w:rsidR="00254E7F" w:rsidRPr="00E32A1A">
        <w:rPr>
          <w:sz w:val="24"/>
          <w:szCs w:val="24"/>
          <w:lang w:eastAsia="es-AR"/>
        </w:rPr>
        <w:t xml:space="preserve">.7 </w:t>
      </w:r>
      <w:r>
        <w:rPr>
          <w:sz w:val="24"/>
          <w:szCs w:val="24"/>
          <w:lang w:eastAsia="es-AR"/>
        </w:rPr>
        <w:t xml:space="preserve">En caso de que el </w:t>
      </w:r>
      <w:r w:rsidR="00254E7F">
        <w:rPr>
          <w:sz w:val="24"/>
          <w:szCs w:val="24"/>
          <w:lang w:eastAsia="es-AR"/>
        </w:rPr>
        <w:t>contra</w:t>
      </w:r>
      <w:r>
        <w:rPr>
          <w:sz w:val="24"/>
          <w:szCs w:val="24"/>
          <w:lang w:eastAsia="es-AR"/>
        </w:rPr>
        <w:t>ta</w:t>
      </w:r>
      <w:r w:rsidR="00254E7F">
        <w:rPr>
          <w:sz w:val="24"/>
          <w:szCs w:val="24"/>
          <w:lang w:eastAsia="es-AR"/>
        </w:rPr>
        <w:t>nte incurra en incumplimiento, se procederá a labrar un Acta de Incumplimiento, tres incumplimientos representan una falta, la cual será pasible de una multa</w:t>
      </w:r>
      <w:r w:rsidR="00DF1A0F">
        <w:rPr>
          <w:sz w:val="24"/>
          <w:szCs w:val="24"/>
          <w:lang w:eastAsia="es-AR"/>
        </w:rPr>
        <w:t>.</w:t>
      </w:r>
    </w:p>
    <w:p w:rsidR="00254E7F" w:rsidRDefault="00920885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6</w:t>
      </w:r>
      <w:r w:rsidR="00254E7F" w:rsidRPr="00E32A1A">
        <w:rPr>
          <w:sz w:val="24"/>
          <w:szCs w:val="24"/>
          <w:lang w:eastAsia="es-AR"/>
        </w:rPr>
        <w:t>.8</w:t>
      </w:r>
      <w:r w:rsidR="00254E7F" w:rsidRPr="00EE39F5">
        <w:rPr>
          <w:sz w:val="24"/>
          <w:szCs w:val="24"/>
          <w:lang w:eastAsia="es-AR"/>
        </w:rPr>
        <w:t xml:space="preserve">. El Adjudicatario se hará cargo de los mayores costos que por uso de </w:t>
      </w:r>
      <w:r w:rsidR="00254E7F">
        <w:rPr>
          <w:sz w:val="24"/>
          <w:szCs w:val="24"/>
          <w:lang w:eastAsia="es-AR"/>
        </w:rPr>
        <w:t>materiales,  horas extras, etc. n</w:t>
      </w:r>
      <w:r w:rsidR="00254E7F" w:rsidRPr="00EE39F5">
        <w:rPr>
          <w:sz w:val="24"/>
          <w:szCs w:val="24"/>
          <w:lang w:eastAsia="es-AR"/>
        </w:rPr>
        <w:t>ecesite para dar cumplimiento a lo mencionado.</w:t>
      </w:r>
    </w:p>
    <w:p w:rsidR="00B6227A" w:rsidRPr="00E32A1A" w:rsidRDefault="00B6227A" w:rsidP="00254E7F">
      <w:pPr>
        <w:pStyle w:val="Prrafodelista"/>
        <w:autoSpaceDE w:val="0"/>
        <w:autoSpaceDN w:val="0"/>
        <w:adjustRightInd w:val="0"/>
        <w:spacing w:line="360" w:lineRule="auto"/>
        <w:ind w:left="1276" w:hanging="568"/>
        <w:jc w:val="both"/>
        <w:rPr>
          <w:sz w:val="24"/>
          <w:szCs w:val="24"/>
          <w:lang w:eastAsia="es-AR"/>
        </w:rPr>
      </w:pPr>
    </w:p>
    <w:p w:rsidR="00F925B4" w:rsidRPr="006F1A75" w:rsidRDefault="00F925B4" w:rsidP="006F1A75">
      <w:pPr>
        <w:pStyle w:val="Sangradetextonormal"/>
        <w:spacing w:line="360" w:lineRule="auto"/>
        <w:ind w:left="0" w:firstLine="708"/>
        <w:rPr>
          <w:rFonts w:cs="Arial"/>
          <w:sz w:val="22"/>
          <w:szCs w:val="22"/>
        </w:rPr>
      </w:pPr>
      <w:r w:rsidRPr="006F1A75">
        <w:rPr>
          <w:rFonts w:cs="Arial"/>
          <w:b/>
          <w:sz w:val="22"/>
          <w:szCs w:val="22"/>
          <w:u w:val="single"/>
        </w:rPr>
        <w:t>AGREGADOS</w:t>
      </w:r>
      <w:r w:rsidRPr="006F1A75">
        <w:rPr>
          <w:rFonts w:cs="Arial"/>
          <w:b/>
          <w:sz w:val="22"/>
          <w:szCs w:val="22"/>
        </w:rPr>
        <w:t>:</w:t>
      </w:r>
    </w:p>
    <w:p w:rsidR="00F925B4" w:rsidRPr="006F1A75" w:rsidRDefault="00F925B4" w:rsidP="006F1A7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s-AR"/>
        </w:rPr>
      </w:pPr>
      <w:r w:rsidRPr="006F1A75">
        <w:rPr>
          <w:lang w:eastAsia="es-AR"/>
        </w:rPr>
        <w:t>APÉNDICE 1: “Lugares a Prestar el Servicio”.</w:t>
      </w:r>
    </w:p>
    <w:p w:rsidR="00F925B4" w:rsidRPr="006F1A75" w:rsidRDefault="00F925B4" w:rsidP="006F1A7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s-AR"/>
        </w:rPr>
      </w:pPr>
      <w:r w:rsidRPr="006F1A75">
        <w:rPr>
          <w:lang w:eastAsia="es-AR"/>
        </w:rPr>
        <w:t>APÉNDICE 2: “</w:t>
      </w:r>
      <w:r w:rsidR="008357FE" w:rsidRPr="006F1A75">
        <w:rPr>
          <w:lang w:eastAsia="es-AR"/>
        </w:rPr>
        <w:t xml:space="preserve">Certificado de </w:t>
      </w:r>
      <w:r w:rsidRPr="006F1A75">
        <w:rPr>
          <w:lang w:eastAsia="es-AR"/>
        </w:rPr>
        <w:t>Visita Técnica Obligatoria”.</w:t>
      </w:r>
    </w:p>
    <w:p w:rsidR="00F925B4" w:rsidRPr="006F1A75" w:rsidRDefault="00F925B4" w:rsidP="006F1A7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s-AR"/>
        </w:rPr>
      </w:pPr>
      <w:r w:rsidRPr="006F1A75">
        <w:rPr>
          <w:lang w:eastAsia="es-AR"/>
        </w:rPr>
        <w:t>APÉNDICE 3: “Documentación Técnica a presentar con la Oferta”.</w:t>
      </w:r>
    </w:p>
    <w:p w:rsidR="00F925B4" w:rsidRPr="006F1A75" w:rsidRDefault="00F925B4" w:rsidP="006F1A7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s-AR"/>
        </w:rPr>
      </w:pPr>
      <w:r w:rsidRPr="006F1A75">
        <w:rPr>
          <w:lang w:eastAsia="es-AR"/>
        </w:rPr>
        <w:t>APÉNDICE 4: “Documentación a presentar para el inicio de la prestación del Servicio”.</w:t>
      </w:r>
    </w:p>
    <w:p w:rsidR="00F925B4" w:rsidRPr="00EE2CB7" w:rsidRDefault="00F925B4" w:rsidP="006F1A7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s-AR"/>
        </w:rPr>
      </w:pPr>
      <w:r w:rsidRPr="006F1A75">
        <w:rPr>
          <w:lang w:eastAsia="es-AR"/>
        </w:rPr>
        <w:t>APÉNDICE 5: “Documentación Seguridad e Higiene para inicio del Prestación del Servicio”.</w:t>
      </w:r>
    </w:p>
    <w:p w:rsidR="00F925B4" w:rsidRDefault="00F925B4" w:rsidP="006F1A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="792"/>
        <w:jc w:val="both"/>
      </w:pPr>
    </w:p>
    <w:p w:rsidR="00EA32DD" w:rsidRDefault="00EA32DD" w:rsidP="003814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="792"/>
        <w:jc w:val="both"/>
      </w:pPr>
    </w:p>
    <w:p w:rsidR="00EA32DD" w:rsidRDefault="00EA32DD" w:rsidP="003814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="792"/>
        <w:jc w:val="both"/>
      </w:pPr>
    </w:p>
    <w:p w:rsidR="00EA32DD" w:rsidRPr="00111825" w:rsidRDefault="00EA32DD" w:rsidP="003814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="792"/>
        <w:jc w:val="both"/>
      </w:pPr>
    </w:p>
    <w:sectPr w:rsidR="00EA32DD" w:rsidRPr="00111825" w:rsidSect="00980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35" w:right="851" w:bottom="851" w:left="1134" w:header="1134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07" w:rsidRDefault="00424F07">
      <w:r>
        <w:separator/>
      </w:r>
    </w:p>
  </w:endnote>
  <w:endnote w:type="continuationSeparator" w:id="0">
    <w:p w:rsidR="00424F07" w:rsidRDefault="004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B9" w:rsidRDefault="00440D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855782"/>
      <w:docPartObj>
        <w:docPartGallery w:val="Page Numbers (Bottom of Page)"/>
        <w:docPartUnique/>
      </w:docPartObj>
    </w:sdtPr>
    <w:sdtEndPr/>
    <w:sdtContent>
      <w:p w:rsidR="0044279D" w:rsidRDefault="00A3317C">
        <w:pPr>
          <w:pStyle w:val="Piedepgina"/>
          <w:jc w:val="center"/>
        </w:pPr>
        <w:r>
          <w:fldChar w:fldCharType="begin"/>
        </w:r>
        <w:r w:rsidR="008A2750">
          <w:instrText>PAGE   \* MERGEFORMAT</w:instrText>
        </w:r>
        <w:r>
          <w:fldChar w:fldCharType="separate"/>
        </w:r>
        <w:r w:rsidR="006D03F2">
          <w:rPr>
            <w:noProof/>
          </w:rPr>
          <w:t>6</w:t>
        </w:r>
        <w:r>
          <w:rPr>
            <w:noProof/>
          </w:rPr>
          <w:fldChar w:fldCharType="end"/>
        </w:r>
        <w:r w:rsidR="00440DB9">
          <w:t xml:space="preserve"> de 6</w:t>
        </w:r>
      </w:p>
    </w:sdtContent>
  </w:sdt>
  <w:p w:rsidR="0044279D" w:rsidRDefault="0044279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D" w:rsidRDefault="00A331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44279D">
      <w:rPr>
        <w:color w:val="000000"/>
      </w:rPr>
      <w:instrText>PAGE</w:instrText>
    </w:r>
    <w:r>
      <w:rPr>
        <w:color w:val="000000"/>
      </w:rPr>
      <w:fldChar w:fldCharType="end"/>
    </w:r>
  </w:p>
  <w:p w:rsidR="0044279D" w:rsidRDefault="004427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07" w:rsidRDefault="00424F07">
      <w:r>
        <w:separator/>
      </w:r>
    </w:p>
  </w:footnote>
  <w:footnote w:type="continuationSeparator" w:id="0">
    <w:p w:rsidR="00424F07" w:rsidRDefault="0042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D" w:rsidRDefault="004427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-225424</wp:posOffset>
          </wp:positionV>
          <wp:extent cx="1337945" cy="151447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945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279D" w:rsidRDefault="004427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D" w:rsidRDefault="0044279D" w:rsidP="00BB7DA2">
    <w:pPr>
      <w:pStyle w:val="Encabezado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-520065</wp:posOffset>
          </wp:positionV>
          <wp:extent cx="904875" cy="952500"/>
          <wp:effectExtent l="19050" t="0" r="9525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6"/>
      </w:rPr>
      <w:t>“1983/2023 – 40 AÑOS DE DEMOCRACIA”</w:t>
    </w:r>
  </w:p>
  <w:p w:rsidR="0044279D" w:rsidRDefault="0044279D" w:rsidP="00BB7DA2">
    <w:pPr>
      <w:pStyle w:val="Encabezado"/>
      <w:jc w:val="right"/>
      <w:rPr>
        <w:sz w:val="16"/>
      </w:rPr>
    </w:pPr>
  </w:p>
  <w:p w:rsidR="0044279D" w:rsidRDefault="0044279D" w:rsidP="00BB7DA2">
    <w:pPr>
      <w:pStyle w:val="Encabezado"/>
      <w:jc w:val="right"/>
      <w:rPr>
        <w:sz w:val="16"/>
      </w:rPr>
    </w:pPr>
  </w:p>
  <w:p w:rsidR="0044279D" w:rsidRDefault="0044279D" w:rsidP="00BB7DA2">
    <w:pPr>
      <w:pStyle w:val="Encabezado"/>
      <w:jc w:val="right"/>
      <w:rPr>
        <w:sz w:val="16"/>
      </w:rPr>
    </w:pPr>
  </w:p>
  <w:p w:rsidR="0044279D" w:rsidRDefault="004427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D" w:rsidRDefault="004427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312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-3809</wp:posOffset>
          </wp:positionV>
          <wp:extent cx="1296035" cy="129603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35" cy="1296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D1F"/>
    <w:multiLevelType w:val="multilevel"/>
    <w:tmpl w:val="4F922DA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8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  <w:u w:val="none"/>
      </w:rPr>
    </w:lvl>
  </w:abstractNum>
  <w:abstractNum w:abstractNumId="1">
    <w:nsid w:val="0A482D43"/>
    <w:multiLevelType w:val="multilevel"/>
    <w:tmpl w:val="76BEB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A569CF"/>
    <w:multiLevelType w:val="multilevel"/>
    <w:tmpl w:val="C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F4F89"/>
    <w:multiLevelType w:val="multilevel"/>
    <w:tmpl w:val="EEE45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8412C0"/>
    <w:multiLevelType w:val="multilevel"/>
    <w:tmpl w:val="047A3B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281564F7"/>
    <w:multiLevelType w:val="multilevel"/>
    <w:tmpl w:val="5AF6060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1543" w:hanging="48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4269" w:hanging="108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6755" w:hanging="144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9241" w:hanging="180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sz w:val="22"/>
        <w:u w:val="single"/>
      </w:rPr>
    </w:lvl>
  </w:abstractNum>
  <w:abstractNum w:abstractNumId="6">
    <w:nsid w:val="2C6F6521"/>
    <w:multiLevelType w:val="multilevel"/>
    <w:tmpl w:val="D9D4439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7F360A"/>
    <w:multiLevelType w:val="multilevel"/>
    <w:tmpl w:val="5192D4E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5DB5FE6"/>
    <w:multiLevelType w:val="hybridMultilevel"/>
    <w:tmpl w:val="8B167394"/>
    <w:lvl w:ilvl="0" w:tplc="2C0A0017">
      <w:start w:val="1"/>
      <w:numFmt w:val="lowerLetter"/>
      <w:lvlText w:val="%1)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BD04C5"/>
    <w:multiLevelType w:val="multilevel"/>
    <w:tmpl w:val="31B8D6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94239A2"/>
    <w:multiLevelType w:val="multilevel"/>
    <w:tmpl w:val="87F6880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sz w:val="22"/>
      </w:rPr>
    </w:lvl>
  </w:abstractNum>
  <w:abstractNum w:abstractNumId="11">
    <w:nsid w:val="4C9D7238"/>
    <w:multiLevelType w:val="multilevel"/>
    <w:tmpl w:val="2A881D0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2">
    <w:nsid w:val="52BF1FC8"/>
    <w:multiLevelType w:val="multilevel"/>
    <w:tmpl w:val="FC6AFA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3">
    <w:nsid w:val="5A000BB3"/>
    <w:multiLevelType w:val="multilevel"/>
    <w:tmpl w:val="211459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698428F0"/>
    <w:multiLevelType w:val="multilevel"/>
    <w:tmpl w:val="7B92148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561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42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58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74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008" w:hanging="1800"/>
      </w:pPr>
      <w:rPr>
        <w:rFonts w:hint="default"/>
        <w:u w:val="none"/>
      </w:rPr>
    </w:lvl>
  </w:abstractNum>
  <w:abstractNum w:abstractNumId="15">
    <w:nsid w:val="6C787434"/>
    <w:multiLevelType w:val="multilevel"/>
    <w:tmpl w:val="4484FF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4442CB"/>
    <w:multiLevelType w:val="multilevel"/>
    <w:tmpl w:val="48E290B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1321" w:hanging="66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20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hint="default"/>
        <w:u w:val="none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12"/>
    <w:rsid w:val="00001FD5"/>
    <w:rsid w:val="0000380D"/>
    <w:rsid w:val="000058D1"/>
    <w:rsid w:val="00041A43"/>
    <w:rsid w:val="000435D3"/>
    <w:rsid w:val="00065B17"/>
    <w:rsid w:val="000A4124"/>
    <w:rsid w:val="000B2360"/>
    <w:rsid w:val="000E004E"/>
    <w:rsid w:val="000E5B5C"/>
    <w:rsid w:val="000E7A29"/>
    <w:rsid w:val="00111825"/>
    <w:rsid w:val="00133957"/>
    <w:rsid w:val="00135088"/>
    <w:rsid w:val="00137B6C"/>
    <w:rsid w:val="00156330"/>
    <w:rsid w:val="00157CAF"/>
    <w:rsid w:val="001727F1"/>
    <w:rsid w:val="001759E2"/>
    <w:rsid w:val="001953F1"/>
    <w:rsid w:val="001A647A"/>
    <w:rsid w:val="001B0C2E"/>
    <w:rsid w:val="001E15E6"/>
    <w:rsid w:val="001E4678"/>
    <w:rsid w:val="001E53B1"/>
    <w:rsid w:val="001E6EEE"/>
    <w:rsid w:val="0021033B"/>
    <w:rsid w:val="00214D2E"/>
    <w:rsid w:val="00220D81"/>
    <w:rsid w:val="00226473"/>
    <w:rsid w:val="00226EEB"/>
    <w:rsid w:val="00237AA3"/>
    <w:rsid w:val="00240B01"/>
    <w:rsid w:val="00254E7F"/>
    <w:rsid w:val="00261BF9"/>
    <w:rsid w:val="00261C47"/>
    <w:rsid w:val="002661BD"/>
    <w:rsid w:val="002678BA"/>
    <w:rsid w:val="00280875"/>
    <w:rsid w:val="002A3F02"/>
    <w:rsid w:val="002B1386"/>
    <w:rsid w:val="002C0072"/>
    <w:rsid w:val="002C359C"/>
    <w:rsid w:val="002C69BD"/>
    <w:rsid w:val="002D4FCE"/>
    <w:rsid w:val="002E1E50"/>
    <w:rsid w:val="002E2C3C"/>
    <w:rsid w:val="002E5083"/>
    <w:rsid w:val="002F4B60"/>
    <w:rsid w:val="00304B3C"/>
    <w:rsid w:val="00311EB9"/>
    <w:rsid w:val="0031356A"/>
    <w:rsid w:val="00316723"/>
    <w:rsid w:val="0031729C"/>
    <w:rsid w:val="003248AC"/>
    <w:rsid w:val="00326A3D"/>
    <w:rsid w:val="003329C2"/>
    <w:rsid w:val="00336007"/>
    <w:rsid w:val="00346918"/>
    <w:rsid w:val="003502D4"/>
    <w:rsid w:val="003521A4"/>
    <w:rsid w:val="003532E6"/>
    <w:rsid w:val="003546EF"/>
    <w:rsid w:val="00381464"/>
    <w:rsid w:val="00393605"/>
    <w:rsid w:val="003B4ED4"/>
    <w:rsid w:val="003B6C8C"/>
    <w:rsid w:val="003D5115"/>
    <w:rsid w:val="003D5C93"/>
    <w:rsid w:val="003D6C3F"/>
    <w:rsid w:val="003E0A83"/>
    <w:rsid w:val="003F2A1E"/>
    <w:rsid w:val="003F369C"/>
    <w:rsid w:val="003F4B31"/>
    <w:rsid w:val="00402D11"/>
    <w:rsid w:val="00415703"/>
    <w:rsid w:val="00424F07"/>
    <w:rsid w:val="0043228C"/>
    <w:rsid w:val="00433C2D"/>
    <w:rsid w:val="00440DB9"/>
    <w:rsid w:val="0044279D"/>
    <w:rsid w:val="00442DDC"/>
    <w:rsid w:val="00443546"/>
    <w:rsid w:val="00443915"/>
    <w:rsid w:val="00461791"/>
    <w:rsid w:val="00462714"/>
    <w:rsid w:val="00492CDB"/>
    <w:rsid w:val="004A2A8E"/>
    <w:rsid w:val="004B0732"/>
    <w:rsid w:val="004B2A9A"/>
    <w:rsid w:val="004B48C0"/>
    <w:rsid w:val="004C19E8"/>
    <w:rsid w:val="004C251D"/>
    <w:rsid w:val="004C3F34"/>
    <w:rsid w:val="004D39C8"/>
    <w:rsid w:val="004D5BD9"/>
    <w:rsid w:val="004D6441"/>
    <w:rsid w:val="004E76FB"/>
    <w:rsid w:val="004F6380"/>
    <w:rsid w:val="00501A38"/>
    <w:rsid w:val="00507CB8"/>
    <w:rsid w:val="005104FE"/>
    <w:rsid w:val="005219B9"/>
    <w:rsid w:val="005254FB"/>
    <w:rsid w:val="00535866"/>
    <w:rsid w:val="0054390D"/>
    <w:rsid w:val="00544282"/>
    <w:rsid w:val="00546C00"/>
    <w:rsid w:val="00554D49"/>
    <w:rsid w:val="005571CF"/>
    <w:rsid w:val="00561368"/>
    <w:rsid w:val="00567440"/>
    <w:rsid w:val="00581DB6"/>
    <w:rsid w:val="0058466B"/>
    <w:rsid w:val="00590AB6"/>
    <w:rsid w:val="00594860"/>
    <w:rsid w:val="005A5570"/>
    <w:rsid w:val="005E3513"/>
    <w:rsid w:val="00602B16"/>
    <w:rsid w:val="006034F3"/>
    <w:rsid w:val="00636522"/>
    <w:rsid w:val="00643800"/>
    <w:rsid w:val="0065169A"/>
    <w:rsid w:val="00652329"/>
    <w:rsid w:val="00655038"/>
    <w:rsid w:val="00664D57"/>
    <w:rsid w:val="00674FC3"/>
    <w:rsid w:val="00681575"/>
    <w:rsid w:val="00685AC4"/>
    <w:rsid w:val="006B4593"/>
    <w:rsid w:val="006C0336"/>
    <w:rsid w:val="006C7813"/>
    <w:rsid w:val="006D03F2"/>
    <w:rsid w:val="006E1439"/>
    <w:rsid w:val="006F1A75"/>
    <w:rsid w:val="006F2CC9"/>
    <w:rsid w:val="006F70B6"/>
    <w:rsid w:val="00700553"/>
    <w:rsid w:val="007107C9"/>
    <w:rsid w:val="0072272A"/>
    <w:rsid w:val="0073283E"/>
    <w:rsid w:val="00742224"/>
    <w:rsid w:val="00742907"/>
    <w:rsid w:val="00751328"/>
    <w:rsid w:val="007516FA"/>
    <w:rsid w:val="00770138"/>
    <w:rsid w:val="00774121"/>
    <w:rsid w:val="007A696F"/>
    <w:rsid w:val="007E3F80"/>
    <w:rsid w:val="007F0B5F"/>
    <w:rsid w:val="008016D4"/>
    <w:rsid w:val="00811BFB"/>
    <w:rsid w:val="00820371"/>
    <w:rsid w:val="008232A1"/>
    <w:rsid w:val="0082528F"/>
    <w:rsid w:val="0083084C"/>
    <w:rsid w:val="008357FE"/>
    <w:rsid w:val="00841F59"/>
    <w:rsid w:val="008437BE"/>
    <w:rsid w:val="008457E1"/>
    <w:rsid w:val="00853FCF"/>
    <w:rsid w:val="00856057"/>
    <w:rsid w:val="008943A9"/>
    <w:rsid w:val="008A025E"/>
    <w:rsid w:val="008A0C44"/>
    <w:rsid w:val="008A2750"/>
    <w:rsid w:val="008A5877"/>
    <w:rsid w:val="008A75C4"/>
    <w:rsid w:val="008C414C"/>
    <w:rsid w:val="008C4EF9"/>
    <w:rsid w:val="008E1A20"/>
    <w:rsid w:val="008E63AB"/>
    <w:rsid w:val="008F0DAF"/>
    <w:rsid w:val="00901199"/>
    <w:rsid w:val="009103BB"/>
    <w:rsid w:val="00910F19"/>
    <w:rsid w:val="009129D8"/>
    <w:rsid w:val="00920885"/>
    <w:rsid w:val="00923C8C"/>
    <w:rsid w:val="00924B64"/>
    <w:rsid w:val="0093133E"/>
    <w:rsid w:val="00932BCA"/>
    <w:rsid w:val="00943D33"/>
    <w:rsid w:val="00944BB9"/>
    <w:rsid w:val="0095501E"/>
    <w:rsid w:val="00980C8F"/>
    <w:rsid w:val="00996E58"/>
    <w:rsid w:val="009A24EF"/>
    <w:rsid w:val="009B5847"/>
    <w:rsid w:val="009C2CE8"/>
    <w:rsid w:val="009C5E6B"/>
    <w:rsid w:val="009E6F37"/>
    <w:rsid w:val="00A042AD"/>
    <w:rsid w:val="00A174CA"/>
    <w:rsid w:val="00A269B3"/>
    <w:rsid w:val="00A3317C"/>
    <w:rsid w:val="00A51059"/>
    <w:rsid w:val="00A5586E"/>
    <w:rsid w:val="00A60D97"/>
    <w:rsid w:val="00A6431B"/>
    <w:rsid w:val="00A73758"/>
    <w:rsid w:val="00A82D44"/>
    <w:rsid w:val="00A868FC"/>
    <w:rsid w:val="00AA4902"/>
    <w:rsid w:val="00AA6CE4"/>
    <w:rsid w:val="00AB2E09"/>
    <w:rsid w:val="00AB7F7A"/>
    <w:rsid w:val="00AC2EF3"/>
    <w:rsid w:val="00AE20CD"/>
    <w:rsid w:val="00AE5205"/>
    <w:rsid w:val="00AF2B7E"/>
    <w:rsid w:val="00AF553E"/>
    <w:rsid w:val="00AF6967"/>
    <w:rsid w:val="00B012B7"/>
    <w:rsid w:val="00B03574"/>
    <w:rsid w:val="00B36DD2"/>
    <w:rsid w:val="00B37914"/>
    <w:rsid w:val="00B37B36"/>
    <w:rsid w:val="00B40A93"/>
    <w:rsid w:val="00B444CA"/>
    <w:rsid w:val="00B540F4"/>
    <w:rsid w:val="00B60FA0"/>
    <w:rsid w:val="00B6227A"/>
    <w:rsid w:val="00B9208C"/>
    <w:rsid w:val="00BB0688"/>
    <w:rsid w:val="00BB537C"/>
    <w:rsid w:val="00BB7DA2"/>
    <w:rsid w:val="00BD084B"/>
    <w:rsid w:val="00BD114C"/>
    <w:rsid w:val="00BE1C23"/>
    <w:rsid w:val="00BE3664"/>
    <w:rsid w:val="00C16D46"/>
    <w:rsid w:val="00C20449"/>
    <w:rsid w:val="00C2699B"/>
    <w:rsid w:val="00C26BC2"/>
    <w:rsid w:val="00C435B2"/>
    <w:rsid w:val="00C459B2"/>
    <w:rsid w:val="00C50894"/>
    <w:rsid w:val="00C570C8"/>
    <w:rsid w:val="00C663CB"/>
    <w:rsid w:val="00C6787E"/>
    <w:rsid w:val="00C71383"/>
    <w:rsid w:val="00C75A8D"/>
    <w:rsid w:val="00C907D4"/>
    <w:rsid w:val="00C97F4B"/>
    <w:rsid w:val="00CA4547"/>
    <w:rsid w:val="00CB4A49"/>
    <w:rsid w:val="00D15967"/>
    <w:rsid w:val="00D225FA"/>
    <w:rsid w:val="00D2430E"/>
    <w:rsid w:val="00D27E12"/>
    <w:rsid w:val="00D46C16"/>
    <w:rsid w:val="00D7578F"/>
    <w:rsid w:val="00D95F68"/>
    <w:rsid w:val="00D9708A"/>
    <w:rsid w:val="00DA21A5"/>
    <w:rsid w:val="00DB19AA"/>
    <w:rsid w:val="00DE4582"/>
    <w:rsid w:val="00DE58BD"/>
    <w:rsid w:val="00DF1A0F"/>
    <w:rsid w:val="00E007C7"/>
    <w:rsid w:val="00E06821"/>
    <w:rsid w:val="00E11C7B"/>
    <w:rsid w:val="00E222A1"/>
    <w:rsid w:val="00E312C2"/>
    <w:rsid w:val="00E7071B"/>
    <w:rsid w:val="00E7268D"/>
    <w:rsid w:val="00E73CD7"/>
    <w:rsid w:val="00E7508B"/>
    <w:rsid w:val="00E822E3"/>
    <w:rsid w:val="00E90588"/>
    <w:rsid w:val="00EA1089"/>
    <w:rsid w:val="00EA32DD"/>
    <w:rsid w:val="00EA4698"/>
    <w:rsid w:val="00EA7FC1"/>
    <w:rsid w:val="00EB2730"/>
    <w:rsid w:val="00EB5DF5"/>
    <w:rsid w:val="00EC72D5"/>
    <w:rsid w:val="00EF4F68"/>
    <w:rsid w:val="00F055DC"/>
    <w:rsid w:val="00F42968"/>
    <w:rsid w:val="00F54006"/>
    <w:rsid w:val="00F60ABC"/>
    <w:rsid w:val="00F65E02"/>
    <w:rsid w:val="00F70951"/>
    <w:rsid w:val="00F8291E"/>
    <w:rsid w:val="00F925B4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91E"/>
  </w:style>
  <w:style w:type="paragraph" w:styleId="Ttulo1">
    <w:name w:val="heading 1"/>
    <w:basedOn w:val="Normal"/>
    <w:next w:val="Normal"/>
    <w:rsid w:val="00F8291E"/>
    <w:pPr>
      <w:ind w:left="1156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F82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82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8291E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rsid w:val="00F8291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8291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225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82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8291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82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2A8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757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78F"/>
  </w:style>
  <w:style w:type="character" w:styleId="Hipervnculo">
    <w:name w:val="Hyperlink"/>
    <w:basedOn w:val="Fuentedeprrafopredeter"/>
    <w:uiPriority w:val="99"/>
    <w:unhideWhenUsed/>
    <w:rsid w:val="006034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E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E7A29"/>
    <w:pPr>
      <w:widowControl/>
      <w:ind w:left="567"/>
      <w:jc w:val="both"/>
    </w:pPr>
    <w:rPr>
      <w:rFonts w:eastAsia="Times New Roman" w:cs="Times New Roman"/>
      <w:sz w:val="24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E7A29"/>
    <w:rPr>
      <w:rFonts w:eastAsia="Times New Roman" w:cs="Times New Roman"/>
      <w:sz w:val="24"/>
      <w:szCs w:val="20"/>
      <w:lang w:val="es-AR"/>
    </w:rPr>
  </w:style>
  <w:style w:type="paragraph" w:styleId="Sinespaciado">
    <w:name w:val="No Spacing"/>
    <w:link w:val="SinespaciadoCar"/>
    <w:uiPriority w:val="1"/>
    <w:qFormat/>
    <w:rsid w:val="00B012B7"/>
    <w:pPr>
      <w:widowControl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12B7"/>
    <w:rPr>
      <w:rFonts w:asciiTheme="minorHAnsi" w:eastAsiaTheme="minorEastAsia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012B7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012B7"/>
    <w:rPr>
      <w:rFonts w:asciiTheme="minorHAnsi" w:eastAsiaTheme="minorEastAsia" w:hAnsiTheme="minorHAnsi" w:cstheme="minorBidi"/>
    </w:rPr>
  </w:style>
  <w:style w:type="character" w:styleId="nfasis">
    <w:name w:val="Emphasis"/>
    <w:basedOn w:val="Fuentedeprrafopredeter"/>
    <w:uiPriority w:val="20"/>
    <w:qFormat/>
    <w:rsid w:val="006B4593"/>
    <w:rPr>
      <w:i/>
      <w:iCs/>
    </w:rPr>
  </w:style>
  <w:style w:type="character" w:customStyle="1" w:styleId="Ttulo7Car">
    <w:name w:val="Título 7 Car"/>
    <w:basedOn w:val="Fuentedeprrafopredeter"/>
    <w:link w:val="Ttulo7"/>
    <w:uiPriority w:val="9"/>
    <w:rsid w:val="00D225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D22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91E"/>
  </w:style>
  <w:style w:type="paragraph" w:styleId="Ttulo1">
    <w:name w:val="heading 1"/>
    <w:basedOn w:val="Normal"/>
    <w:next w:val="Normal"/>
    <w:rsid w:val="00F8291E"/>
    <w:pPr>
      <w:ind w:left="1156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F82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82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8291E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rsid w:val="00F8291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8291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225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82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8291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82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2A8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757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78F"/>
  </w:style>
  <w:style w:type="character" w:styleId="Hipervnculo">
    <w:name w:val="Hyperlink"/>
    <w:basedOn w:val="Fuentedeprrafopredeter"/>
    <w:uiPriority w:val="99"/>
    <w:unhideWhenUsed/>
    <w:rsid w:val="006034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E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E7A29"/>
    <w:pPr>
      <w:widowControl/>
      <w:ind w:left="567"/>
      <w:jc w:val="both"/>
    </w:pPr>
    <w:rPr>
      <w:rFonts w:eastAsia="Times New Roman" w:cs="Times New Roman"/>
      <w:sz w:val="24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E7A29"/>
    <w:rPr>
      <w:rFonts w:eastAsia="Times New Roman" w:cs="Times New Roman"/>
      <w:sz w:val="24"/>
      <w:szCs w:val="20"/>
      <w:lang w:val="es-AR"/>
    </w:rPr>
  </w:style>
  <w:style w:type="paragraph" w:styleId="Sinespaciado">
    <w:name w:val="No Spacing"/>
    <w:link w:val="SinespaciadoCar"/>
    <w:uiPriority w:val="1"/>
    <w:qFormat/>
    <w:rsid w:val="00B012B7"/>
    <w:pPr>
      <w:widowControl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12B7"/>
    <w:rPr>
      <w:rFonts w:asciiTheme="minorHAnsi" w:eastAsiaTheme="minorEastAsia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012B7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012B7"/>
    <w:rPr>
      <w:rFonts w:asciiTheme="minorHAnsi" w:eastAsiaTheme="minorEastAsia" w:hAnsiTheme="minorHAnsi" w:cstheme="minorBidi"/>
    </w:rPr>
  </w:style>
  <w:style w:type="character" w:styleId="nfasis">
    <w:name w:val="Emphasis"/>
    <w:basedOn w:val="Fuentedeprrafopredeter"/>
    <w:uiPriority w:val="20"/>
    <w:qFormat/>
    <w:rsid w:val="006B4593"/>
    <w:rPr>
      <w:i/>
      <w:iCs/>
    </w:rPr>
  </w:style>
  <w:style w:type="character" w:customStyle="1" w:styleId="Ttulo7Car">
    <w:name w:val="Título 7 Car"/>
    <w:basedOn w:val="Fuentedeprrafopredeter"/>
    <w:link w:val="Ttulo7"/>
    <w:uiPriority w:val="9"/>
    <w:rsid w:val="00D225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D22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99FD-BC71-4107-9FDE-168529B5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1839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Abastecimiento</cp:lastModifiedBy>
  <cp:revision>13</cp:revision>
  <cp:lastPrinted>2022-07-13T17:34:00Z</cp:lastPrinted>
  <dcterms:created xsi:type="dcterms:W3CDTF">2023-09-05T12:32:00Z</dcterms:created>
  <dcterms:modified xsi:type="dcterms:W3CDTF">2023-09-18T14:18:00Z</dcterms:modified>
</cp:coreProperties>
</file>